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ook w:val="01E0" w:firstRow="1" w:lastRow="1" w:firstColumn="1" w:lastColumn="1" w:noHBand="0" w:noVBand="0"/>
      </w:tblPr>
      <w:tblGrid>
        <w:gridCol w:w="1908"/>
        <w:gridCol w:w="8640"/>
      </w:tblGrid>
      <w:tr w:rsidR="009B2BAD" w:rsidRPr="00327D02" w:rsidTr="00694EBC">
        <w:tc>
          <w:tcPr>
            <w:tcW w:w="1908" w:type="dxa"/>
          </w:tcPr>
          <w:p w:rsidR="009B2BAD" w:rsidRPr="00327D02" w:rsidRDefault="009B2BAD" w:rsidP="00694EBC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5000" cy="914400"/>
                  <wp:effectExtent l="0" t="0" r="0" b="0"/>
                  <wp:docPr id="1" name="Picture 1" descr="pagina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ina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:rsidR="009B2BAD" w:rsidRPr="00327D02" w:rsidRDefault="009B2BAD" w:rsidP="00694EBC">
            <w:pPr>
              <w:jc w:val="center"/>
              <w:rPr>
                <w:rFonts w:ascii="Franklin Gothic Medium" w:hAnsi="Franklin Gothic Medium" w:cs="Arial"/>
                <w:b/>
                <w:color w:val="0000FF"/>
                <w:sz w:val="28"/>
                <w:szCs w:val="28"/>
              </w:rPr>
            </w:pPr>
            <w:r w:rsidRPr="00327D02">
              <w:rPr>
                <w:rFonts w:ascii="Franklin Gothic Medium" w:hAnsi="Franklin Gothic Medium" w:cs="Arial"/>
                <w:b/>
                <w:sz w:val="28"/>
                <w:szCs w:val="28"/>
              </w:rPr>
              <w:t xml:space="preserve">Brokerage Event on </w:t>
            </w:r>
            <w:r w:rsidRPr="00327D02">
              <w:rPr>
                <w:rFonts w:ascii="Franklin Gothic Medium" w:hAnsi="Franklin Gothic Medium" w:cs="Arial"/>
                <w:b/>
                <w:color w:val="FFFF00"/>
                <w:sz w:val="28"/>
                <w:szCs w:val="28"/>
                <w:highlight w:val="red"/>
              </w:rPr>
              <w:t>AGROFOOD</w:t>
            </w:r>
            <w:r w:rsidRPr="00327D02">
              <w:rPr>
                <w:rFonts w:ascii="Franklin Gothic Medium" w:hAnsi="Franklin Gothic Medium" w:cs="Arial"/>
                <w:b/>
                <w:color w:val="FFFF00"/>
                <w:sz w:val="28"/>
                <w:szCs w:val="28"/>
              </w:rPr>
              <w:t xml:space="preserve"> </w:t>
            </w:r>
            <w:r w:rsidRPr="00327D02">
              <w:rPr>
                <w:rFonts w:ascii="Franklin Gothic Medium" w:hAnsi="Franklin Gothic Medium" w:cs="Arial"/>
                <w:b/>
                <w:sz w:val="28"/>
                <w:szCs w:val="28"/>
              </w:rPr>
              <w:t>and</w:t>
            </w:r>
            <w:r w:rsidRPr="00327D02">
              <w:rPr>
                <w:rFonts w:ascii="Franklin Gothic Medium" w:hAnsi="Franklin Gothic Medium" w:cs="Arial"/>
                <w:b/>
                <w:color w:val="FFFF00"/>
                <w:sz w:val="28"/>
                <w:szCs w:val="28"/>
              </w:rPr>
              <w:t xml:space="preserve"> </w:t>
            </w:r>
            <w:r w:rsidRPr="00327D02">
              <w:rPr>
                <w:rFonts w:ascii="Franklin Gothic Medium" w:hAnsi="Franklin Gothic Medium" w:cs="Arial"/>
                <w:b/>
                <w:color w:val="008000"/>
                <w:sz w:val="28"/>
                <w:szCs w:val="28"/>
                <w:highlight w:val="yellow"/>
              </w:rPr>
              <w:t>GREEN ENERGY</w:t>
            </w:r>
          </w:p>
          <w:p w:rsidR="009B2BAD" w:rsidRPr="00327D02" w:rsidRDefault="009B2BAD" w:rsidP="00694EBC">
            <w:pPr>
              <w:jc w:val="center"/>
              <w:rPr>
                <w:b/>
                <w:sz w:val="28"/>
                <w:szCs w:val="28"/>
              </w:rPr>
            </w:pPr>
            <w:r w:rsidRPr="00327D02">
              <w:rPr>
                <w:rFonts w:ascii="Franklin Gothic Medium" w:hAnsi="Franklin Gothic Medium" w:cs="Arial"/>
                <w:b/>
                <w:sz w:val="28"/>
                <w:szCs w:val="28"/>
              </w:rPr>
              <w:t>Covasna, Romania, 19</w:t>
            </w:r>
            <w:r w:rsidRPr="00327D02">
              <w:rPr>
                <w:rFonts w:ascii="Franklin Gothic Medium" w:hAnsi="Franklin Gothic Medium" w:cs="Arial"/>
                <w:b/>
                <w:sz w:val="28"/>
                <w:szCs w:val="28"/>
                <w:vertAlign w:val="superscript"/>
              </w:rPr>
              <w:t>th</w:t>
            </w:r>
            <w:r w:rsidRPr="00327D02">
              <w:rPr>
                <w:rFonts w:ascii="Franklin Gothic Medium" w:hAnsi="Franklin Gothic Medium" w:cs="Arial"/>
                <w:b/>
                <w:sz w:val="28"/>
                <w:szCs w:val="28"/>
              </w:rPr>
              <w:t xml:space="preserve"> – 20</w:t>
            </w:r>
            <w:r w:rsidRPr="00327D02">
              <w:rPr>
                <w:rFonts w:ascii="Franklin Gothic Medium" w:hAnsi="Franklin Gothic Medium" w:cs="Arial"/>
                <w:b/>
                <w:sz w:val="28"/>
                <w:szCs w:val="28"/>
                <w:vertAlign w:val="superscript"/>
              </w:rPr>
              <w:t>th</w:t>
            </w:r>
            <w:r w:rsidRPr="00327D02">
              <w:rPr>
                <w:rFonts w:ascii="Franklin Gothic Medium" w:hAnsi="Franklin Gothic Medium" w:cs="Arial"/>
                <w:b/>
                <w:sz w:val="28"/>
                <w:szCs w:val="28"/>
              </w:rPr>
              <w:t xml:space="preserve"> January 2012</w:t>
            </w:r>
          </w:p>
          <w:p w:rsidR="009B2BAD" w:rsidRPr="00327D02" w:rsidRDefault="009B2BAD" w:rsidP="00694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BAD" w:rsidRPr="00327D02" w:rsidRDefault="009B2BAD" w:rsidP="0069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7D02">
              <w:rPr>
                <w:rFonts w:ascii="Arial" w:hAnsi="Arial" w:cs="Arial"/>
                <w:b/>
                <w:sz w:val="32"/>
                <w:szCs w:val="32"/>
              </w:rPr>
              <w:t>P R O G R A M M E</w:t>
            </w:r>
          </w:p>
        </w:tc>
      </w:tr>
    </w:tbl>
    <w:p w:rsidR="009B2BAD" w:rsidRPr="00823E8C" w:rsidRDefault="009B2BAD" w:rsidP="009B2BA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9B2BAD" w:rsidRPr="00823E8C" w:rsidRDefault="009B2BAD" w:rsidP="009B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23E8C">
        <w:rPr>
          <w:b/>
        </w:rPr>
        <w:t>Thursday, 19</w:t>
      </w:r>
      <w:r w:rsidRPr="00823E8C">
        <w:rPr>
          <w:b/>
          <w:vertAlign w:val="superscript"/>
        </w:rPr>
        <w:t>th</w:t>
      </w:r>
      <w:r w:rsidRPr="00823E8C">
        <w:rPr>
          <w:b/>
        </w:rPr>
        <w:t xml:space="preserve"> of January 2012</w:t>
      </w:r>
    </w:p>
    <w:p w:rsidR="009B2BAD" w:rsidRPr="00823E8C" w:rsidRDefault="009B2BAD" w:rsidP="009B2BAD">
      <w:pPr>
        <w:rPr>
          <w:b/>
        </w:rPr>
      </w:pPr>
    </w:p>
    <w:p w:rsidR="009B2BAD" w:rsidRPr="00823E8C" w:rsidRDefault="009B2BAD" w:rsidP="009B2BAD">
      <w:pPr>
        <w:rPr>
          <w:b/>
          <w:color w:val="FFFFFF"/>
        </w:rPr>
      </w:pPr>
      <w:r w:rsidRPr="00823E8C">
        <w:rPr>
          <w:b/>
          <w:color w:val="FFFFFF"/>
          <w:highlight w:val="red"/>
        </w:rPr>
        <w:t>Part I:</w:t>
      </w:r>
      <w:r w:rsidRPr="00823E8C">
        <w:rPr>
          <w:b/>
          <w:color w:val="FFFFFF"/>
          <w:highlight w:val="red"/>
        </w:rPr>
        <w:tab/>
      </w:r>
      <w:r w:rsidRPr="00823E8C">
        <w:rPr>
          <w:b/>
          <w:color w:val="FFFFFF"/>
          <w:highlight w:val="red"/>
        </w:rPr>
        <w:tab/>
        <w:t>09.30 – 13.30 Plenary Session</w:t>
      </w:r>
    </w:p>
    <w:p w:rsidR="009B2BAD" w:rsidRPr="00823E8C" w:rsidRDefault="009B2BAD" w:rsidP="009B2BAD">
      <w:pPr>
        <w:numPr>
          <w:ilvl w:val="0"/>
          <w:numId w:val="1"/>
        </w:numPr>
        <w:ind w:left="714" w:hanging="357"/>
      </w:pPr>
      <w:r w:rsidRPr="00823E8C">
        <w:t>Welcome</w:t>
      </w:r>
      <w:r w:rsidRPr="00823E8C">
        <w:tab/>
      </w:r>
      <w:r w:rsidRPr="00823E8C">
        <w:tab/>
      </w:r>
      <w:r w:rsidRPr="00823E8C">
        <w:tab/>
      </w:r>
      <w:r w:rsidRPr="00823E8C">
        <w:tab/>
      </w:r>
      <w:r w:rsidRPr="00823E8C">
        <w:tab/>
      </w:r>
      <w:r w:rsidRPr="00823E8C">
        <w:tab/>
      </w:r>
      <w:r w:rsidRPr="00823E8C">
        <w:tab/>
      </w:r>
      <w:r w:rsidRPr="00823E8C">
        <w:tab/>
      </w:r>
      <w:r w:rsidRPr="00823E8C">
        <w:tab/>
        <w:t>Z. Lorincz</w:t>
      </w:r>
    </w:p>
    <w:p w:rsidR="009B2BAD" w:rsidRPr="00823E8C" w:rsidRDefault="009B2BAD" w:rsidP="009B2BAD">
      <w:pPr>
        <w:numPr>
          <w:ilvl w:val="0"/>
          <w:numId w:val="1"/>
        </w:numPr>
        <w:ind w:left="714" w:hanging="357"/>
      </w:pPr>
      <w:r w:rsidRPr="00823E8C">
        <w:t>Introduction (what is a brokerage event, aim, expected results, etc)</w:t>
      </w:r>
      <w:r w:rsidRPr="00823E8C">
        <w:tab/>
        <w:t>B. Dragancea</w:t>
      </w:r>
    </w:p>
    <w:p w:rsidR="009B2BAD" w:rsidRPr="00823E8C" w:rsidRDefault="009B2BAD" w:rsidP="009B2BAD">
      <w:pPr>
        <w:numPr>
          <w:ilvl w:val="0"/>
          <w:numId w:val="1"/>
        </w:numPr>
        <w:ind w:left="714" w:hanging="357"/>
      </w:pPr>
      <w:r w:rsidRPr="00823E8C">
        <w:t>Green Energy – cluster presentation</w:t>
      </w:r>
      <w:r w:rsidRPr="00823E8C">
        <w:tab/>
      </w:r>
      <w:r w:rsidRPr="00823E8C">
        <w:tab/>
      </w:r>
      <w:r w:rsidRPr="00823E8C">
        <w:tab/>
      </w:r>
      <w:r w:rsidRPr="00823E8C">
        <w:tab/>
      </w:r>
      <w:r w:rsidRPr="00823E8C">
        <w:tab/>
      </w:r>
      <w:r w:rsidRPr="00823E8C">
        <w:tab/>
        <w:t>L. Vajda</w:t>
      </w:r>
    </w:p>
    <w:p w:rsidR="009B2BAD" w:rsidRPr="00823E8C" w:rsidRDefault="009B2BAD" w:rsidP="009B2BAD">
      <w:pPr>
        <w:numPr>
          <w:ilvl w:val="0"/>
          <w:numId w:val="1"/>
        </w:numPr>
        <w:ind w:left="714" w:hanging="357"/>
      </w:pPr>
      <w:r w:rsidRPr="00823E8C">
        <w:t>Cluster Agrofood – cluster presentation;</w:t>
      </w:r>
      <w:r w:rsidRPr="00823E8C">
        <w:tab/>
      </w:r>
      <w:r w:rsidRPr="00823E8C">
        <w:tab/>
      </w:r>
      <w:r w:rsidRPr="00823E8C">
        <w:tab/>
      </w:r>
      <w:r w:rsidRPr="00823E8C">
        <w:tab/>
      </w:r>
      <w:r w:rsidRPr="00823E8C">
        <w:tab/>
        <w:t>L. Vajda</w:t>
      </w:r>
    </w:p>
    <w:p w:rsidR="009B2BAD" w:rsidRPr="00823E8C" w:rsidRDefault="009B2BAD" w:rsidP="009B2BAD">
      <w:pPr>
        <w:numPr>
          <w:ilvl w:val="0"/>
          <w:numId w:val="1"/>
        </w:numPr>
        <w:ind w:left="714" w:hanging="357"/>
      </w:pPr>
      <w:r w:rsidRPr="00823E8C">
        <w:t>European research-industry programme (Eureka/Eurostars)</w:t>
      </w:r>
      <w:r w:rsidRPr="00823E8C">
        <w:tab/>
      </w:r>
      <w:r w:rsidRPr="00823E8C">
        <w:tab/>
        <w:t>O. Alupei</w:t>
      </w:r>
    </w:p>
    <w:p w:rsidR="009B2BAD" w:rsidRPr="00823E8C" w:rsidRDefault="009B2BAD" w:rsidP="009B2BAD">
      <w:pPr>
        <w:numPr>
          <w:ilvl w:val="0"/>
          <w:numId w:val="1"/>
        </w:numPr>
        <w:ind w:left="714" w:hanging="357"/>
      </w:pPr>
      <w:r w:rsidRPr="00823E8C">
        <w:t xml:space="preserve">Case study: Completed Eurostars project (2009-2011) - presentation </w:t>
      </w:r>
      <w:r w:rsidRPr="00823E8C">
        <w:tab/>
        <w:t>R. Horcajada</w:t>
      </w:r>
    </w:p>
    <w:p w:rsidR="009B2BAD" w:rsidRPr="00823E8C" w:rsidRDefault="009B2BAD" w:rsidP="009B2BAD">
      <w:pPr>
        <w:numPr>
          <w:ilvl w:val="0"/>
          <w:numId w:val="1"/>
        </w:numPr>
        <w:ind w:left="714" w:hanging="357"/>
      </w:pPr>
      <w:r w:rsidRPr="00823E8C">
        <w:t>Case study: Completed Eurostars project (2009-2011) – presentation</w:t>
      </w:r>
      <w:r w:rsidRPr="00823E8C">
        <w:tab/>
        <w:t>S. Nygaard</w:t>
      </w:r>
    </w:p>
    <w:p w:rsidR="009B2BAD" w:rsidRPr="00823E8C" w:rsidRDefault="009B2BAD" w:rsidP="009B2BAD">
      <w:pPr>
        <w:rPr>
          <w:b/>
        </w:rPr>
      </w:pPr>
    </w:p>
    <w:p w:rsidR="009B2BAD" w:rsidRPr="00823E8C" w:rsidRDefault="009B2BAD" w:rsidP="009B2BAD">
      <w:pPr>
        <w:rPr>
          <w:b/>
          <w:color w:val="FFFFFF"/>
        </w:rPr>
      </w:pPr>
      <w:r w:rsidRPr="00823E8C">
        <w:rPr>
          <w:b/>
          <w:color w:val="FFFFFF"/>
          <w:highlight w:val="red"/>
        </w:rPr>
        <w:t>Part II:</w:t>
      </w:r>
      <w:r w:rsidRPr="00823E8C">
        <w:rPr>
          <w:b/>
          <w:color w:val="FFFFFF"/>
          <w:highlight w:val="red"/>
        </w:rPr>
        <w:tab/>
        <w:t>15.00 – 17.30</w:t>
      </w:r>
      <w:r w:rsidRPr="00823E8C">
        <w:rPr>
          <w:b/>
          <w:color w:val="FFFFFF"/>
          <w:highlight w:val="red"/>
        </w:rPr>
        <w:tab/>
        <w:t>Technical Sessions (working groups)</w:t>
      </w:r>
    </w:p>
    <w:p w:rsidR="009B2BAD" w:rsidRPr="00823E8C" w:rsidRDefault="009B2BAD" w:rsidP="009B2BAD"/>
    <w:p w:rsidR="009B2BAD" w:rsidRPr="00823E8C" w:rsidRDefault="009B2BAD" w:rsidP="009B2BAD">
      <w:pPr>
        <w:rPr>
          <w:b/>
          <w:color w:val="FFFFFF"/>
        </w:rPr>
      </w:pPr>
      <w:r w:rsidRPr="00823E8C">
        <w:rPr>
          <w:b/>
        </w:rPr>
        <w:t xml:space="preserve">Working Group 1: </w:t>
      </w:r>
      <w:r w:rsidRPr="00823E8C">
        <w:rPr>
          <w:b/>
          <w:color w:val="FFFF00"/>
          <w:highlight w:val="darkCyan"/>
        </w:rPr>
        <w:t>“GREEN” CHEMISTRY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>Conversion of renewable raw materials into sustainable and cost-efficient bulk bio-product;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rPr>
          <w:iCs/>
        </w:rPr>
        <w:t>Synthesis of some C4, C5 carboxilic acid building block chemicals from renewable biomass resources;</w:t>
      </w:r>
    </w:p>
    <w:p w:rsidR="009B2BAD" w:rsidRPr="00823E8C" w:rsidRDefault="009B2BAD" w:rsidP="009B2BAD">
      <w:pPr>
        <w:rPr>
          <w:iCs/>
        </w:rPr>
      </w:pPr>
    </w:p>
    <w:p w:rsidR="009B2BAD" w:rsidRPr="00823E8C" w:rsidRDefault="009B2BAD" w:rsidP="009B2BAD">
      <w:pPr>
        <w:rPr>
          <w:b/>
          <w:color w:val="FFFFFF"/>
        </w:rPr>
      </w:pPr>
      <w:r w:rsidRPr="00823E8C">
        <w:rPr>
          <w:b/>
        </w:rPr>
        <w:t xml:space="preserve">Working Group 2: </w:t>
      </w:r>
      <w:r w:rsidRPr="00823E8C">
        <w:rPr>
          <w:b/>
          <w:color w:val="FFFF00"/>
          <w:highlight w:val="darkCyan"/>
        </w:rPr>
        <w:t>“GREEN” ENERGY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>exploitation of lignocellulosic biomass and agricultural wastes into renewable energy;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>biomethanisation from agrofood wastes;</w:t>
      </w:r>
    </w:p>
    <w:p w:rsidR="009B2BAD" w:rsidRPr="00823E8C" w:rsidRDefault="009B2BAD" w:rsidP="009B2BAD"/>
    <w:p w:rsidR="009B2BAD" w:rsidRPr="00823E8C" w:rsidRDefault="009B2BAD" w:rsidP="009B2BAD">
      <w:pPr>
        <w:rPr>
          <w:b/>
        </w:rPr>
      </w:pPr>
      <w:r w:rsidRPr="00823E8C">
        <w:rPr>
          <w:b/>
        </w:rPr>
        <w:t xml:space="preserve">Working Group 3: </w:t>
      </w:r>
      <w:r w:rsidRPr="00823E8C">
        <w:rPr>
          <w:b/>
          <w:color w:val="FFFF00"/>
          <w:highlight w:val="darkCyan"/>
        </w:rPr>
        <w:t>“GREEN” MATERIALS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>Starch-based biodegradable foils for agriculture lands;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>Starch-based biodegradable foils for food product packaging;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>Poly-lactic acid based foils for food product packaging;</w:t>
      </w:r>
    </w:p>
    <w:p w:rsidR="009B2BAD" w:rsidRPr="00823E8C" w:rsidRDefault="009B2BAD" w:rsidP="009B2BAD"/>
    <w:p w:rsidR="009B2BAD" w:rsidRPr="00823E8C" w:rsidRDefault="009B2BAD" w:rsidP="009B2BAD">
      <w:pPr>
        <w:rPr>
          <w:b/>
        </w:rPr>
      </w:pPr>
      <w:r w:rsidRPr="00823E8C">
        <w:rPr>
          <w:b/>
        </w:rPr>
        <w:t xml:space="preserve">Working Group 4: </w:t>
      </w:r>
      <w:r w:rsidRPr="00823E8C">
        <w:rPr>
          <w:b/>
          <w:color w:val="FFFF00"/>
          <w:highlight w:val="darkCyan"/>
        </w:rPr>
        <w:t>FOOD INGREDIENTS &amp; PRODUCTS FROM AGRICULTURE WASTES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>Obtaining of sugars, pectins and other active compounds from apple by-products;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>Lactic acid, pectine and anti-oxydants by biotechnology methods from food by-products;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 xml:space="preserve">Bakery products from agricultural wastes </w:t>
      </w:r>
    </w:p>
    <w:p w:rsidR="009B2BAD" w:rsidRPr="00823E8C" w:rsidRDefault="009B2BAD" w:rsidP="009B2BAD">
      <w:pPr>
        <w:ind w:left="360"/>
      </w:pPr>
    </w:p>
    <w:p w:rsidR="009B2BAD" w:rsidRPr="00823E8C" w:rsidRDefault="009B2BAD" w:rsidP="009B2BAD">
      <w:pPr>
        <w:rPr>
          <w:b/>
        </w:rPr>
      </w:pPr>
      <w:r w:rsidRPr="00823E8C">
        <w:rPr>
          <w:b/>
        </w:rPr>
        <w:t xml:space="preserve">Working Group 5:  </w:t>
      </w:r>
      <w:r w:rsidRPr="00823E8C">
        <w:rPr>
          <w:b/>
          <w:color w:val="FFFF00"/>
          <w:highlight w:val="darkCyan"/>
        </w:rPr>
        <w:t>NATURAL EXTRACTS</w:t>
      </w:r>
      <w:r w:rsidRPr="00823E8C">
        <w:rPr>
          <w:b/>
          <w:color w:val="FFFFFF"/>
        </w:rPr>
        <w:t>: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>for packaging;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>for cosmetics;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>for pharma industry;</w:t>
      </w:r>
    </w:p>
    <w:p w:rsidR="009B2BAD" w:rsidRPr="00823E8C" w:rsidRDefault="009B2BAD" w:rsidP="009B2BAD">
      <w:pPr>
        <w:numPr>
          <w:ilvl w:val="0"/>
          <w:numId w:val="1"/>
        </w:numPr>
      </w:pPr>
      <w:r w:rsidRPr="00823E8C">
        <w:t>for food industry</w:t>
      </w:r>
    </w:p>
    <w:p w:rsidR="009B2BAD" w:rsidRPr="00823E8C" w:rsidRDefault="009B2BAD" w:rsidP="009B2BAD"/>
    <w:p w:rsidR="009B2BAD" w:rsidRPr="00823E8C" w:rsidRDefault="009B2BAD" w:rsidP="009B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23E8C">
        <w:rPr>
          <w:b/>
        </w:rPr>
        <w:t>Friday, 20</w:t>
      </w:r>
      <w:r w:rsidRPr="00823E8C">
        <w:rPr>
          <w:b/>
          <w:vertAlign w:val="superscript"/>
        </w:rPr>
        <w:t>th</w:t>
      </w:r>
      <w:r w:rsidRPr="00823E8C">
        <w:rPr>
          <w:b/>
        </w:rPr>
        <w:t xml:space="preserve"> of January 2012</w:t>
      </w:r>
    </w:p>
    <w:p w:rsidR="009B2BAD" w:rsidRPr="00823E8C" w:rsidRDefault="009B2BAD" w:rsidP="009B2BAD"/>
    <w:p w:rsidR="009B2BAD" w:rsidRPr="00823E8C" w:rsidRDefault="009B2BAD" w:rsidP="009B2BAD">
      <w:pPr>
        <w:rPr>
          <w:b/>
          <w:color w:val="FFFFFF"/>
        </w:rPr>
      </w:pPr>
      <w:r w:rsidRPr="00823E8C">
        <w:rPr>
          <w:b/>
          <w:color w:val="FFFFFF"/>
          <w:highlight w:val="red"/>
        </w:rPr>
        <w:t xml:space="preserve">Part III: </w:t>
      </w:r>
      <w:r w:rsidRPr="00823E8C">
        <w:rPr>
          <w:b/>
          <w:color w:val="FFFFFF"/>
          <w:highlight w:val="red"/>
        </w:rPr>
        <w:tab/>
        <w:t>09.30 – 16.00 Technical Sessions (working groups)</w:t>
      </w:r>
    </w:p>
    <w:p w:rsidR="009B2BAD" w:rsidRPr="00823E8C" w:rsidRDefault="009B2BAD" w:rsidP="009B2BAD"/>
    <w:p w:rsidR="009B2BAD" w:rsidRPr="00823E8C" w:rsidRDefault="009B2BAD" w:rsidP="009B2BAD">
      <w:r w:rsidRPr="00823E8C">
        <w:t>To be continued from previous day</w:t>
      </w:r>
    </w:p>
    <w:p w:rsidR="009B2BAD" w:rsidRPr="00823E8C" w:rsidRDefault="009B2BAD" w:rsidP="009B2BAD"/>
    <w:p w:rsidR="009B2BAD" w:rsidRPr="00823E8C" w:rsidRDefault="009B2BAD" w:rsidP="009B2BAD">
      <w:pPr>
        <w:rPr>
          <w:b/>
          <w:color w:val="FFFFFF"/>
        </w:rPr>
      </w:pPr>
      <w:r w:rsidRPr="00823E8C">
        <w:rPr>
          <w:b/>
          <w:color w:val="FFFFFF"/>
          <w:highlight w:val="red"/>
        </w:rPr>
        <w:t>Part V:</w:t>
      </w:r>
      <w:r w:rsidRPr="00823E8C">
        <w:rPr>
          <w:b/>
          <w:color w:val="FFFFFF"/>
          <w:highlight w:val="red"/>
        </w:rPr>
        <w:tab/>
        <w:t>16.00 – 17.00 Plenary session</w:t>
      </w:r>
    </w:p>
    <w:p w:rsidR="009B2BAD" w:rsidRPr="00823E8C" w:rsidRDefault="009B2BAD" w:rsidP="009B2BAD"/>
    <w:p w:rsidR="009B2BAD" w:rsidRPr="00823E8C" w:rsidRDefault="009B2BAD" w:rsidP="009B2BAD">
      <w:r w:rsidRPr="00823E8C">
        <w:t>- Technical Sessions Reports</w:t>
      </w:r>
    </w:p>
    <w:p w:rsidR="009B2BAD" w:rsidRPr="00823E8C" w:rsidRDefault="009B2BAD" w:rsidP="009B2BAD">
      <w:r w:rsidRPr="00823E8C">
        <w:t>- Future actions</w:t>
      </w:r>
    </w:p>
    <w:p w:rsidR="009B2BAD" w:rsidRPr="00823E8C" w:rsidRDefault="009B2BAD" w:rsidP="009B2BAD">
      <w:r w:rsidRPr="00823E8C">
        <w:t>- Conclusions</w:t>
      </w:r>
    </w:p>
    <w:p w:rsidR="000E287C" w:rsidRDefault="000E287C">
      <w:bookmarkStart w:id="0" w:name="_GoBack"/>
      <w:bookmarkEnd w:id="0"/>
    </w:p>
    <w:sectPr w:rsidR="000E287C" w:rsidSect="002264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5A78"/>
    <w:multiLevelType w:val="hybridMultilevel"/>
    <w:tmpl w:val="D7CA17CA"/>
    <w:lvl w:ilvl="0" w:tplc="587263F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AD"/>
    <w:rsid w:val="000E287C"/>
    <w:rsid w:val="009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AD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AD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2012-02-28T09:52:00Z</dcterms:created>
  <dcterms:modified xsi:type="dcterms:W3CDTF">2012-02-28T09:53:00Z</dcterms:modified>
</cp:coreProperties>
</file>